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240" w:lineRule="auto"/>
        <w:ind w:firstLine="210" w:firstLineChars="100"/>
        <w:textAlignment w:val="auto"/>
        <w:rPr>
          <w:rFonts w:ascii="Times New Roman"/>
          <w:position w:val="1"/>
        </w:rPr>
      </w:pPr>
    </w:p>
    <w:p>
      <w:pPr>
        <w:pStyle w:val="20"/>
        <w:framePr w:vAnchor="page" w:hAnchor="page" w:x="1498" w:y="638"/>
        <w:rPr>
          <w:rFonts w:hint="default" w:eastAsia="宋体"/>
          <w:lang w:val="en-US" w:eastAsia="zh-CN"/>
        </w:rPr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r>
        <w:rPr>
          <w:rFonts w:hint="eastAsia" w:ascii="MS Mincho" w:hAnsi="MS Mincho" w:eastAsia="宋体" w:cs="MS Mincho"/>
          <w:lang w:val="en-US" w:eastAsia="zh-CN"/>
        </w:rPr>
        <w:t>53.100</w:t>
      </w:r>
    </w:p>
    <w:p>
      <w:pPr>
        <w:pStyle w:val="20"/>
        <w:framePr w:vAnchor="page" w:hAnchor="page" w:x="1498" w:y="638"/>
        <w:rPr>
          <w:rFonts w:hint="default" w:eastAsia="黑体"/>
          <w:lang w:val="en-US" w:eastAsia="zh-CN"/>
        </w:rPr>
      </w:pPr>
      <w:r>
        <w:rPr>
          <w:rFonts w:hint="eastAsia" w:ascii="Times New Roman"/>
          <w:lang w:val="en-US" w:eastAsia="zh-CN"/>
        </w:rPr>
        <w:t>P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97</w:t>
      </w:r>
    </w:p>
    <w:p>
      <w:pPr>
        <w:spacing w:before="419"/>
        <w:ind w:left="258" w:right="0" w:firstLine="0"/>
        <w:jc w:val="left"/>
        <w:rPr>
          <w:rFonts w:ascii="Times New Roman"/>
          <w:b/>
          <w:sz w:val="96"/>
        </w:rPr>
      </w:pPr>
      <w:r>
        <w:br w:type="column"/>
      </w:r>
      <w:r>
        <w:rPr>
          <w:rFonts w:ascii="Times New Roman"/>
          <w:b/>
          <w:w w:val="130"/>
          <w:sz w:val="96"/>
        </w:rPr>
        <w:t>ZZB</w:t>
      </w:r>
    </w:p>
    <w:p>
      <w:pPr>
        <w:spacing w:after="0"/>
        <w:jc w:val="left"/>
        <w:rPr>
          <w:rFonts w:ascii="Times New Roman"/>
          <w:sz w:val="96"/>
        </w:rPr>
        <w:sectPr>
          <w:headerReference r:id="rId3" w:type="default"/>
          <w:footerReference r:id="rId4" w:type="default"/>
          <w:type w:val="continuous"/>
          <w:pgSz w:w="11910" w:h="16840"/>
          <w:pgMar w:top="567" w:right="0" w:bottom="1037" w:left="1417" w:header="720" w:footer="856" w:gutter="0"/>
          <w:cols w:equalWidth="0" w:num="2">
            <w:col w:w="1106" w:space="5497"/>
            <w:col w:w="3890"/>
          </w:cols>
          <w:rtlGutter w:val="0"/>
          <w:docGrid w:linePitch="0" w:charSpace="0"/>
        </w:sectPr>
      </w:pPr>
    </w:p>
    <w:p>
      <w:pPr>
        <w:pStyle w:val="6"/>
        <w:spacing w:before="6"/>
        <w:rPr>
          <w:rFonts w:ascii="Times New Roman"/>
          <w:b/>
          <w:sz w:val="18"/>
        </w:rPr>
      </w:pPr>
    </w:p>
    <w:p>
      <w:pPr>
        <w:tabs>
          <w:tab w:val="left" w:pos="2107"/>
          <w:tab w:val="left" w:pos="3955"/>
          <w:tab w:val="left" w:pos="5803"/>
          <w:tab w:val="left" w:pos="7652"/>
          <w:tab w:val="left" w:pos="9500"/>
        </w:tabs>
        <w:spacing w:before="33"/>
        <w:ind w:left="258" w:leftChars="0" w:right="0" w:firstLine="0"/>
        <w:jc w:val="distribute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浙江制造标准</w:t>
      </w:r>
    </w:p>
    <w:p>
      <w:pPr>
        <w:spacing w:before="307"/>
        <w:ind w:left="0" w:right="1118" w:firstLine="0"/>
        <w:jc w:val="right"/>
        <w:rPr>
          <w:rFonts w:hint="default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</w:rPr>
        <w:t xml:space="preserve">ZZB </w:t>
      </w:r>
      <w:r>
        <w:rPr>
          <w:rFonts w:hint="eastAsia" w:ascii="黑体" w:hAnsi="黑体" w:eastAsia="黑体" w:cs="黑体"/>
          <w:sz w:val="28"/>
          <w:lang w:val="en-US" w:eastAsia="zh-CN"/>
        </w:rPr>
        <w:t>xxx</w:t>
      </w:r>
      <w:r>
        <w:rPr>
          <w:rFonts w:hint="eastAsia" w:ascii="黑体" w:hAnsi="黑体" w:eastAsia="黑体" w:cs="黑体"/>
          <w:sz w:val="28"/>
        </w:rPr>
        <w:t>—20</w:t>
      </w:r>
      <w:r>
        <w:rPr>
          <w:rFonts w:hint="eastAsia" w:ascii="黑体" w:hAnsi="黑体" w:eastAsia="黑体" w:cs="黑体"/>
          <w:sz w:val="28"/>
          <w:lang w:val="en-US" w:eastAsia="zh-CN"/>
        </w:rPr>
        <w:t>20</w:t>
      </w:r>
    </w:p>
    <w:p>
      <w:pPr>
        <w:pStyle w:val="6"/>
        <w:rPr>
          <w:rFonts w:ascii="黑体"/>
          <w:sz w:val="20"/>
        </w:rPr>
      </w:pPr>
    </w:p>
    <w:p>
      <w:pPr>
        <w:pStyle w:val="6"/>
        <w:spacing w:before="9"/>
        <w:rPr>
          <w:rFonts w:ascii="黑体"/>
          <w:sz w:val="29"/>
        </w:rPr>
      </w:pPr>
      <w:r>
        <mc:AlternateContent>
          <mc:Choice Requires="wps">
            <w:drawing>
              <wp:anchor distT="0" distB="0" distL="0" distR="0" simplePos="0" relativeHeight="251012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271145</wp:posOffset>
                </wp:positionV>
                <wp:extent cx="6120130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0.8pt;margin-top:21.35pt;height:0pt;width:481.9pt;mso-position-horizontal-relative:page;mso-wrap-distance-bottom:0pt;mso-wrap-distance-top:0pt;z-index:-252304384;mso-width-relative:page;mso-height-relative:page;" filled="f" stroked="t" coordsize="21600,21600" o:gfxdata="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L0rbXAAAACgEAAA8AAAAAAAAAAQAgAAAAIgAAAGRy&#10;cy9kb3ducmV2LnhtbFBLAQIUABQAAAAIAIdO4kBOCnXczQEAAI0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spacing w:before="27"/>
        <w:ind w:right="0"/>
        <w:jc w:val="left"/>
        <w:rPr>
          <w:rFonts w:hint="eastAsia" w:ascii="黑体" w:eastAsia="黑体"/>
          <w:sz w:val="52"/>
          <w:lang w:val="en-US" w:eastAsia="zh-CN"/>
        </w:rPr>
      </w:pPr>
    </w:p>
    <w:p>
      <w:pPr>
        <w:pStyle w:val="6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轮胎式装载机用超越离合器</w:t>
      </w:r>
    </w:p>
    <w:p>
      <w:pPr>
        <w:pStyle w:val="6"/>
        <w:jc w:val="center"/>
        <w:rPr>
          <w:rFonts w:ascii="Times New Roman"/>
          <w:sz w:val="20"/>
        </w:rPr>
      </w:pPr>
      <w:r>
        <w:rPr>
          <w:rFonts w:hint="eastAsia" w:eastAsia="黑体"/>
          <w:b/>
          <w:bCs/>
          <w:sz w:val="28"/>
          <w:szCs w:val="28"/>
        </w:rPr>
        <w:t>Overrunning clutches for wheel loader</w:t>
      </w:r>
    </w:p>
    <w:p>
      <w:pPr>
        <w:pStyle w:val="6"/>
        <w:jc w:val="center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"/>
        <w:rPr>
          <w:rFonts w:ascii="Times New Roman"/>
          <w:sz w:val="29"/>
        </w:rPr>
      </w:pPr>
    </w:p>
    <w:p>
      <w:pPr>
        <w:tabs>
          <w:tab w:val="left" w:pos="6718"/>
        </w:tabs>
        <w:spacing w:before="61"/>
        <w:ind w:left="10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hAnsi="黑体" w:eastAsia="黑体" w:cs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283210</wp:posOffset>
                </wp:positionV>
                <wp:extent cx="611949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9.15pt;margin-top:22.3pt;height:0pt;width:481.85pt;mso-position-horizontal-relative:page;z-index:251013120;mso-width-relative:page;mso-height-relative:page;" filled="f" stroked="t" coordsize="21600,21600" o:gfxdata="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UljQ1wAAAAkBAAAPAAAAAAAAAAEAIAAAACIAAABk&#10;cnMvZG93bnJldi54bWxQSwECFAAUAAAACACHTuJA++5X+c4BAACN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xxxx</w:t>
      </w:r>
      <w:r>
        <w:rPr>
          <w:rFonts w:hint="eastAsia" w:ascii="黑体" w:hAnsi="黑体" w:eastAsia="黑体" w:cs="黑体"/>
          <w:spacing w:val="-69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-</w:t>
      </w:r>
      <w:r>
        <w:rPr>
          <w:rFonts w:hint="eastAsia" w:ascii="黑体" w:hAnsi="黑体" w:eastAsia="黑体" w:cs="黑体"/>
          <w:spacing w:val="-72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72"/>
          <w:sz w:val="28"/>
          <w:szCs w:val="28"/>
          <w:lang w:val="en-US" w:eastAsia="zh-CN"/>
        </w:rPr>
        <w:t>xx</w:t>
      </w:r>
      <w:r>
        <w:rPr>
          <w:rFonts w:hint="eastAsia" w:ascii="黑体" w:hAnsi="黑体" w:eastAsia="黑体" w:cs="黑体"/>
          <w:spacing w:val="-72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-</w:t>
      </w:r>
      <w:r>
        <w:rPr>
          <w:rFonts w:hint="eastAsia" w:ascii="黑体" w:hAnsi="黑体" w:eastAsia="黑体" w:cs="黑体"/>
          <w:spacing w:val="-7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70"/>
          <w:sz w:val="28"/>
          <w:szCs w:val="28"/>
          <w:lang w:val="en-US" w:eastAsia="zh-CN"/>
        </w:rPr>
        <w:t xml:space="preserve">xx </w:t>
      </w:r>
      <w:r>
        <w:rPr>
          <w:rFonts w:hint="eastAsia" w:ascii="黑体" w:hAnsi="黑体" w:eastAsia="黑体" w:cs="黑体"/>
          <w:sz w:val="28"/>
          <w:szCs w:val="28"/>
        </w:rPr>
        <w:t>发布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position w:val="-4"/>
          <w:sz w:val="28"/>
          <w:lang w:val="en-US" w:eastAsia="zh-CN"/>
        </w:rPr>
        <w:t>xxxx</w:t>
      </w:r>
      <w:r>
        <w:rPr>
          <w:rFonts w:hint="eastAsia" w:ascii="黑体" w:eastAsia="黑体"/>
          <w:spacing w:val="-69"/>
          <w:position w:val="-4"/>
          <w:sz w:val="28"/>
        </w:rPr>
        <w:t xml:space="preserve"> </w:t>
      </w:r>
      <w:r>
        <w:rPr>
          <w:rFonts w:hint="eastAsia" w:ascii="黑体" w:eastAsia="黑体"/>
          <w:position w:val="-4"/>
          <w:sz w:val="28"/>
        </w:rPr>
        <w:t>-</w:t>
      </w:r>
      <w:r>
        <w:rPr>
          <w:rFonts w:hint="eastAsia" w:ascii="黑体" w:eastAsia="黑体"/>
          <w:spacing w:val="-72"/>
          <w:position w:val="-4"/>
          <w:sz w:val="28"/>
        </w:rPr>
        <w:t xml:space="preserve"> </w:t>
      </w:r>
      <w:r>
        <w:rPr>
          <w:rFonts w:hint="eastAsia" w:ascii="黑体" w:eastAsia="黑体"/>
          <w:spacing w:val="-72"/>
          <w:position w:val="-4"/>
          <w:sz w:val="28"/>
          <w:lang w:val="en-US" w:eastAsia="zh-CN"/>
        </w:rPr>
        <w:t>xx</w:t>
      </w:r>
      <w:r>
        <w:rPr>
          <w:rFonts w:hint="eastAsia" w:ascii="黑体" w:eastAsia="黑体"/>
          <w:spacing w:val="-72"/>
          <w:position w:val="-4"/>
          <w:sz w:val="28"/>
        </w:rPr>
        <w:t xml:space="preserve"> </w:t>
      </w:r>
      <w:r>
        <w:rPr>
          <w:rFonts w:hint="eastAsia" w:ascii="黑体" w:eastAsia="黑体"/>
          <w:position w:val="-4"/>
          <w:sz w:val="28"/>
        </w:rPr>
        <w:t>-</w:t>
      </w:r>
      <w:r>
        <w:rPr>
          <w:rFonts w:hint="eastAsia" w:ascii="黑体" w:eastAsia="黑体"/>
          <w:spacing w:val="-70"/>
          <w:position w:val="-4"/>
          <w:sz w:val="28"/>
        </w:rPr>
        <w:t xml:space="preserve"> </w:t>
      </w:r>
      <w:r>
        <w:rPr>
          <w:rFonts w:hint="eastAsia" w:ascii="黑体" w:eastAsia="黑体"/>
          <w:spacing w:val="-70"/>
          <w:position w:val="-4"/>
          <w:sz w:val="28"/>
          <w:lang w:val="en-US" w:eastAsia="zh-CN"/>
        </w:rPr>
        <w:t>xx</w:t>
      </w:r>
      <w:r>
        <w:rPr>
          <w:rFonts w:hint="eastAsia" w:ascii="黑体" w:eastAsia="黑体"/>
          <w:spacing w:val="-71"/>
          <w:position w:val="-4"/>
          <w:sz w:val="28"/>
        </w:rPr>
        <w:t xml:space="preserve"> </w:t>
      </w:r>
      <w:r>
        <w:rPr>
          <w:rFonts w:hint="eastAsia" w:ascii="黑体" w:eastAsia="黑体"/>
          <w:position w:val="-4"/>
          <w:sz w:val="28"/>
        </w:rPr>
        <w:t>实施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tabs>
          <w:tab w:val="left" w:pos="7807"/>
        </w:tabs>
        <w:spacing w:before="213"/>
        <w:ind w:left="1413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41"/>
          <w:w w:val="130"/>
          <w:sz w:val="28"/>
        </w:rPr>
        <w:t>浙</w:t>
      </w:r>
      <w:r>
        <w:rPr>
          <w:rFonts w:hint="eastAsia" w:ascii="黑体" w:eastAsia="黑体"/>
          <w:spacing w:val="38"/>
          <w:w w:val="130"/>
          <w:sz w:val="28"/>
        </w:rPr>
        <w:t>江</w:t>
      </w:r>
      <w:r>
        <w:rPr>
          <w:rFonts w:hint="eastAsia" w:ascii="黑体" w:eastAsia="黑体"/>
          <w:spacing w:val="41"/>
          <w:w w:val="130"/>
          <w:sz w:val="28"/>
        </w:rPr>
        <w:t>省</w:t>
      </w:r>
      <w:r>
        <w:rPr>
          <w:rFonts w:hint="eastAsia" w:ascii="黑体" w:eastAsia="黑体"/>
          <w:spacing w:val="38"/>
          <w:w w:val="130"/>
          <w:sz w:val="28"/>
        </w:rPr>
        <w:t>浙江</w:t>
      </w:r>
      <w:r>
        <w:rPr>
          <w:rFonts w:hint="eastAsia" w:ascii="黑体" w:eastAsia="黑体"/>
          <w:spacing w:val="41"/>
          <w:w w:val="130"/>
          <w:sz w:val="28"/>
        </w:rPr>
        <w:t>制</w:t>
      </w:r>
      <w:r>
        <w:rPr>
          <w:rFonts w:hint="eastAsia" w:ascii="黑体" w:eastAsia="黑体"/>
          <w:spacing w:val="38"/>
          <w:w w:val="130"/>
          <w:sz w:val="28"/>
        </w:rPr>
        <w:t>造</w:t>
      </w:r>
      <w:r>
        <w:rPr>
          <w:rFonts w:hint="eastAsia" w:ascii="黑体" w:eastAsia="黑体"/>
          <w:spacing w:val="41"/>
          <w:w w:val="130"/>
          <w:sz w:val="28"/>
        </w:rPr>
        <w:t>品</w:t>
      </w:r>
      <w:r>
        <w:rPr>
          <w:rFonts w:hint="eastAsia" w:ascii="黑体" w:eastAsia="黑体"/>
          <w:spacing w:val="38"/>
          <w:w w:val="130"/>
          <w:sz w:val="28"/>
        </w:rPr>
        <w:t>牌建</w:t>
      </w:r>
      <w:r>
        <w:rPr>
          <w:rFonts w:hint="eastAsia" w:ascii="黑体" w:eastAsia="黑体"/>
          <w:spacing w:val="41"/>
          <w:w w:val="130"/>
          <w:sz w:val="28"/>
        </w:rPr>
        <w:t>设</w:t>
      </w:r>
      <w:r>
        <w:rPr>
          <w:rFonts w:hint="eastAsia" w:ascii="黑体" w:eastAsia="黑体"/>
          <w:spacing w:val="38"/>
          <w:w w:val="130"/>
          <w:sz w:val="28"/>
        </w:rPr>
        <w:t>促</w:t>
      </w:r>
      <w:r>
        <w:rPr>
          <w:rFonts w:hint="eastAsia" w:ascii="黑体" w:eastAsia="黑体"/>
          <w:spacing w:val="41"/>
          <w:w w:val="130"/>
          <w:sz w:val="28"/>
        </w:rPr>
        <w:t>进</w:t>
      </w:r>
      <w:r>
        <w:rPr>
          <w:rFonts w:hint="eastAsia" w:ascii="黑体" w:eastAsia="黑体"/>
          <w:w w:val="130"/>
          <w:sz w:val="28"/>
        </w:rPr>
        <w:t>会</w:t>
      </w:r>
      <w:r>
        <w:rPr>
          <w:rFonts w:hint="eastAsia" w:ascii="黑体" w:eastAsia="黑体"/>
          <w:w w:val="130"/>
          <w:sz w:val="28"/>
        </w:rPr>
        <w:tab/>
      </w:r>
      <w:r>
        <w:rPr>
          <w:rFonts w:hint="eastAsia" w:ascii="黑体" w:eastAsia="黑体"/>
          <w:w w:val="120"/>
          <w:position w:val="3"/>
          <w:sz w:val="28"/>
        </w:rPr>
        <w:t>发</w:t>
      </w:r>
      <w:r>
        <w:rPr>
          <w:rFonts w:hint="eastAsia" w:ascii="黑体" w:eastAsia="黑体"/>
          <w:spacing w:val="-6"/>
          <w:w w:val="120"/>
          <w:position w:val="3"/>
          <w:sz w:val="28"/>
        </w:rPr>
        <w:t xml:space="preserve"> </w:t>
      </w:r>
      <w:r>
        <w:rPr>
          <w:rFonts w:hint="eastAsia" w:ascii="黑体" w:eastAsia="黑体"/>
          <w:w w:val="120"/>
          <w:position w:val="3"/>
          <w:sz w:val="28"/>
        </w:rPr>
        <w:t>布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type w:val="continuous"/>
          <w:pgSz w:w="11910" w:h="16840"/>
          <w:pgMar w:top="510" w:right="850" w:bottom="1040" w:left="1417" w:header="720" w:footer="720" w:gutter="0"/>
        </w:sectPr>
      </w:pPr>
    </w:p>
    <w:p>
      <w:pPr>
        <w:tabs>
          <w:tab w:val="left" w:pos="7807"/>
        </w:tabs>
        <w:spacing w:before="213"/>
        <w:ind w:right="0"/>
        <w:jc w:val="left"/>
        <w:rPr>
          <w:sz w:val="24"/>
        </w:rPr>
        <w:sectPr>
          <w:footerReference r:id="rId5" w:type="default"/>
          <w:type w:val="continuous"/>
          <w:pgSz w:w="11910" w:h="16840"/>
          <w:pgMar w:top="499" w:right="0" w:bottom="1037" w:left="1162" w:header="720" w:footer="720" w:gutter="0"/>
        </w:sectPr>
      </w:pPr>
    </w:p>
    <w:sdt>
      <w:sdtPr>
        <w:rPr>
          <w:rFonts w:ascii="宋体" w:hAnsi="宋体" w:eastAsia="宋体" w:cs="宋体"/>
          <w:sz w:val="21"/>
          <w:szCs w:val="22"/>
          <w:lang w:val="zh-CN" w:eastAsia="zh-CN" w:bidi="zh-CN"/>
        </w:rPr>
        <w:id w:val="147451782"/>
        <w15:color w:val="DBDBDB"/>
      </w:sdtPr>
      <w:sdtEndPr>
        <w:rPr>
          <w:rFonts w:ascii="宋体" w:hAnsi="宋体" w:eastAsia="宋体" w:cs="宋体"/>
          <w:sz w:val="20"/>
          <w:szCs w:val="20"/>
          <w:lang w:val="zh-CN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宋体"/>
              <w:sz w:val="21"/>
              <w:szCs w:val="22"/>
              <w:lang w:val="zh-CN" w:eastAsia="zh-CN" w:bidi="zh-CN"/>
            </w:rPr>
          </w:pPr>
          <w:bookmarkStart w:id="0" w:name="_Toc4912_WPSOffice_Type1"/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宋体"/>
              <w:sz w:val="21"/>
              <w:szCs w:val="22"/>
              <w:lang w:val="zh-CN" w:eastAsia="zh-CN" w:bidi="zh-CN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目录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32"/>
              <w:szCs w:val="32"/>
            </w:rPr>
          </w:pP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_Toc26815_WPSOffice_Level1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0d4b2a10-9513-4a83-8882-a6c86ae3ca33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前言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eastAsia="宋体" w:cs="宋体"/>
              <w:sz w:val="21"/>
              <w:szCs w:val="21"/>
            </w:rPr>
            <w:t>Ⅱ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_Toc19858_WPSOffice_Level1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黑体" w:hAnsi="黑体" w:eastAsia="黑体" w:cs="黑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387d25ed-e15a-4112-96c5-81434517d79c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1 范围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bookmarkStart w:id="1" w:name="_Toc19858_WPSOffice_Level1Page"/>
          <w:r>
            <w:rPr>
              <w:rFonts w:hint="eastAsia" w:ascii="宋体" w:hAnsi="宋体" w:eastAsia="宋体" w:cs="宋体"/>
              <w:sz w:val="21"/>
              <w:szCs w:val="21"/>
            </w:rPr>
            <w:t>1</w:t>
          </w:r>
          <w:bookmarkEnd w:id="1"/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_Toc17740_WPSOffice_Level1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5ad94807-c174-43c6-bcec-54ee07c5a7ea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2 规范性引用文件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bookmarkStart w:id="2" w:name="_Toc17740_WPSOffice_Level1Page"/>
          <w:r>
            <w:rPr>
              <w:rFonts w:hint="eastAsia" w:ascii="宋体" w:hAnsi="宋体" w:eastAsia="宋体" w:cs="宋体"/>
              <w:sz w:val="21"/>
              <w:szCs w:val="21"/>
            </w:rPr>
            <w:t>1</w:t>
          </w:r>
          <w:bookmarkEnd w:id="2"/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_Toc16946_WPSOffice_Level1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5cf9c896-8b5a-4c1a-b369-4a5f509d9b4c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>3 术语和定义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bookmarkStart w:id="3" w:name="_Toc16946_WPSOffice_Level1Page"/>
          <w:r>
            <w:rPr>
              <w:rFonts w:hint="eastAsia" w:ascii="宋体" w:hAnsi="宋体" w:eastAsia="宋体" w:cs="宋体"/>
              <w:sz w:val="21"/>
              <w:szCs w:val="21"/>
            </w:rPr>
            <w:t>1</w:t>
          </w:r>
          <w:bookmarkEnd w:id="3"/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_Toc7503_WPSOffice_Level1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id w:val="147451782"/>
              <w:placeholder>
                <w:docPart w:val="{78313c17-d4ca-49f3-9f2b-24b44cfcde8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 w:bidi="zh-CN"/>
                </w:rPr>
                <w:t>4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基本要求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2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_Toc10006_WPSOffice_Level1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81f751df-6688-4654-a9d3-180f985e919d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/>
                </w:rPr>
                <w:t>5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技术要求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2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_Toc25632_WPSOffice_Level1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94dfbc46-bbc5-490b-a3f3-e5fc04fd6f2e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/>
                </w:rPr>
                <w:t>6</w:t>
              </w:r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 xml:space="preserve"> 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检验规则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_Toc25632_WPSOffice_Level1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id w:val="147451782"/>
              <w:placeholder>
                <w:docPart w:val="{1de5d884-4d7e-4abf-82c0-9c78db7ad47e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/>
                </w:rPr>
                <w:t>7</w:t>
              </w:r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 xml:space="preserve"> 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检验规则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  <w:lang w:val="en-US" w:eastAsia="zh-CN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_Toc25632_WPSOffice_Level1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id w:val="147451782"/>
              <w:placeholder>
                <w:docPart w:val="{c551b6f9-dcd0-4813-9ba4-88781ff98274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 w:bidi="zh-CN"/>
                </w:rPr>
                <w:t>8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标示、包装、运输和贮存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6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/>
            <w:tabs>
              <w:tab w:val="right" w:leader="dot" w:pos="9359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line="360" w:lineRule="auto"/>
            <w:textAlignment w:val="auto"/>
            <w:rPr>
              <w:rFonts w:hint="eastAsia" w:ascii="宋体" w:hAnsi="宋体" w:eastAsia="宋体" w:cs="宋体"/>
              <w:sz w:val="21"/>
              <w:szCs w:val="21"/>
            </w:rPr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 HYPERLINK \l _Toc7965_WPSOffice_Level1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id w:val="147451782"/>
              <w:placeholder>
                <w:docPart w:val="{08eb6dd4-9474-4354-b253-4a4500362c9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sdtEndPr>
            <w:sdtContent>
              <w:r>
                <w:rPr>
                  <w:rFonts w:hint="eastAsia" w:ascii="宋体" w:hAnsi="宋体" w:cs="宋体"/>
                  <w:sz w:val="21"/>
                  <w:szCs w:val="21"/>
                  <w:lang w:val="en-US" w:eastAsia="zh-CN" w:bidi="zh-CN"/>
                </w:rPr>
                <w:t>9</w:t>
              </w:r>
              <w:r>
                <w:rPr>
                  <w:rFonts w:hint="eastAsia" w:ascii="宋体" w:hAnsi="宋体" w:eastAsia="宋体" w:cs="宋体"/>
                  <w:sz w:val="21"/>
                  <w:szCs w:val="21"/>
                </w:rPr>
                <w:t xml:space="preserve"> </w:t>
              </w:r>
              <w:r>
                <w:rPr>
                  <w:rFonts w:hint="eastAsia" w:ascii="宋体" w:hAnsi="宋体" w:cs="宋体"/>
                  <w:sz w:val="21"/>
                  <w:szCs w:val="21"/>
                  <w:lang w:eastAsia="zh-CN"/>
                </w:rPr>
                <w:t>质量承诺</w:t>
              </w:r>
            </w:sdtContent>
          </w:sdt>
          <w:r>
            <w:rPr>
              <w:rFonts w:hint="eastAsia" w:ascii="宋体" w:hAnsi="宋体" w:eastAsia="宋体" w:cs="宋体"/>
              <w:sz w:val="21"/>
              <w:szCs w:val="21"/>
            </w:rPr>
            <w:tab/>
          </w:r>
          <w:r>
            <w:rPr>
              <w:rFonts w:hint="eastAsia" w:ascii="宋体" w:hAnsi="宋体" w:cs="宋体"/>
              <w:sz w:val="21"/>
              <w:szCs w:val="21"/>
              <w:lang w:val="en-US" w:eastAsia="zh-CN"/>
            </w:rPr>
            <w:t>6</w: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end"/>
          </w:r>
        </w:p>
        <w:bookmarkEnd w:id="0"/>
        <w:p>
          <w:pPr>
            <w:pStyle w:val="6"/>
            <w:rPr>
              <w:sz w:val="21"/>
              <w:szCs w:val="21"/>
            </w:rPr>
          </w:pPr>
        </w:p>
      </w:sdtContent>
    </w:sdt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rFonts w:hint="default" w:eastAsia="宋体"/>
          <w:sz w:val="20"/>
          <w:lang w:val="en-US" w:eastAsia="zh-CN"/>
        </w:rPr>
      </w:pPr>
    </w:p>
    <w:p>
      <w:pPr>
        <w:pStyle w:val="6"/>
        <w:rPr>
          <w:rFonts w:hint="default" w:eastAsia="宋体"/>
          <w:sz w:val="20"/>
          <w:lang w:val="en-US" w:eastAsia="zh-CN"/>
        </w:rPr>
      </w:pPr>
    </w:p>
    <w:p>
      <w:pPr>
        <w:pStyle w:val="6"/>
        <w:rPr>
          <w:rFonts w:hint="default" w:eastAsia="宋体"/>
          <w:sz w:val="32"/>
          <w:szCs w:val="32"/>
          <w:lang w:val="en-US" w:eastAsia="zh-CN"/>
        </w:rPr>
      </w:pPr>
    </w:p>
    <w:p>
      <w:pPr>
        <w:pStyle w:val="6"/>
        <w:rPr>
          <w:rFonts w:hint="default" w:eastAsia="宋体"/>
          <w:sz w:val="32"/>
          <w:szCs w:val="32"/>
          <w:lang w:val="en-US" w:eastAsia="zh-CN"/>
        </w:rPr>
        <w:sectPr>
          <w:footerReference r:id="rId6" w:type="default"/>
          <w:pgSz w:w="11910" w:h="16840"/>
          <w:pgMar w:top="1417" w:right="1134" w:bottom="782" w:left="1417" w:header="0" w:footer="993" w:gutter="0"/>
          <w:pgNumType w:fmt="upperRoman" w:start="1"/>
        </w:sectPr>
      </w:pPr>
    </w:p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4" w:name="_Toc26815_WPSOffice_Level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前言</w:t>
      </w:r>
      <w:bookmarkEnd w:id="4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18" w:leftChars="190" w:right="206" w:firstLine="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/>
        </w:rPr>
      </w:pPr>
      <w:r>
        <w:rPr>
          <w:rFonts w:hint="eastAsia"/>
        </w:rPr>
        <w:t>本标准按照</w:t>
      </w: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en-US" w:eastAsia="zh-CN" w:bidi="zh-CN"/>
        </w:rPr>
        <w:t>GB/T 1.1</w:t>
      </w:r>
      <w:r>
        <w:rPr>
          <w:rFonts w:hint="eastAsia"/>
        </w:rPr>
        <w:t>给出的规则起草。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/>
        </w:rPr>
      </w:pPr>
      <w:r>
        <w:rPr>
          <w:rFonts w:hint="eastAsia"/>
        </w:rPr>
        <w:t>本标准由浙江省品牌建设联合会提出并归口。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/>
        </w:rPr>
      </w:pPr>
      <w:r>
        <w:rPr>
          <w:rFonts w:hint="eastAsia"/>
        </w:rPr>
        <w:t>本标准由浙江省标准化研究院牵头组织制订。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/>
        </w:rPr>
      </w:pPr>
      <w:r>
        <w:rPr>
          <w:rFonts w:hint="eastAsia"/>
        </w:rPr>
        <w:t>本标准为主起草单位：杭州宗兴科技有限公司。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/>
        </w:rPr>
      </w:pPr>
      <w:r>
        <w:rPr>
          <w:rFonts w:hint="eastAsia"/>
        </w:rPr>
        <w:t>本标准主要起草人：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</w:rPr>
        <w:t>本标准由浙江省标准化研究院负责解释。</w:t>
      </w: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</w:pPr>
    </w:p>
    <w:p>
      <w:pPr>
        <w:spacing w:after="0" w:line="556" w:lineRule="auto"/>
        <w:rPr>
          <w:rFonts w:hint="default" w:eastAsia="宋体"/>
          <w:lang w:val="en-US" w:eastAsia="zh-CN"/>
        </w:rPr>
        <w:sectPr>
          <w:headerReference r:id="rId7" w:type="default"/>
          <w:footerReference r:id="rId8" w:type="default"/>
          <w:pgSz w:w="11910" w:h="16840"/>
          <w:pgMar w:top="1417" w:right="1134" w:bottom="782" w:left="1417" w:header="0" w:footer="993" w:gutter="0"/>
          <w:pgNumType w:fmt="upperRoman"/>
        </w:sectPr>
      </w:pPr>
      <w:r>
        <w:rPr>
          <w:rFonts w:hint="eastAsia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5" w:name="_Toc19858_WPSOffice_Level1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轮胎式装载机用超越离合器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1 范围</w:t>
      </w:r>
      <w:bookmarkEnd w:id="5"/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0" w:firstLineChars="200"/>
        <w:textAlignment w:val="auto"/>
        <w:rPr>
          <w:rFonts w:hint="eastAsia" w:ascii="宋体" w:hAnsi="宋体" w:eastAsia="宋体" w:cs="宋体"/>
          <w:b w:val="0"/>
          <w:bCs w:val="0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zh-CN" w:eastAsia="zh-CN" w:bidi="zh-CN"/>
        </w:rPr>
        <w:t>本标准规定了轮胎式装载机用超越离合器的分类、要求、试验方法、检验规则、标志、包装、运输和贮存。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0" w:firstLineChars="200"/>
        <w:textAlignment w:val="auto"/>
        <w:rPr>
          <w:rFonts w:hint="eastAsia" w:ascii="宋体" w:hAnsi="宋体" w:eastAsia="宋体" w:cs="宋体"/>
          <w:b w:val="0"/>
          <w:bCs w:val="0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zh-CN" w:eastAsia="zh-CN" w:bidi="zh-CN"/>
        </w:rPr>
        <w:t>本标准适用于额定载重量为4 t或5 t的轮胎式装载机用超越离合器（以下简称离合器），其他轮胎式装载机用超越离合器可参照使用。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bookmarkStart w:id="6" w:name="_Toc17740_WPSOffice_Level1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2 规范性引用文件</w:t>
      </w:r>
      <w:bookmarkEnd w:id="6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cs="宋体"/>
          <w:spacing w:val="-5"/>
          <w:sz w:val="21"/>
          <w:szCs w:val="21"/>
          <w:lang w:val="zh-CN" w:eastAsia="zh-CN"/>
        </w:rPr>
      </w:pPr>
      <w:r>
        <w:t>下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列文件对于本文件的应用是必不可少的。凡是注日期的引用文件，仅所注日期的版本适用于本文件。凡是不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注日期的引用文件，其最新版本（包括所有的修改单）适用于本文件</w:t>
      </w:r>
      <w:bookmarkStart w:id="7" w:name="_Toc16946_WPSOffice_Level1"/>
      <w:r>
        <w:rPr>
          <w:rFonts w:hint="eastAsia" w:cs="宋体"/>
          <w:spacing w:val="-5"/>
          <w:sz w:val="21"/>
          <w:szCs w:val="21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default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en-US" w:eastAsia="zh-CN" w:bidi="zh-CN"/>
        </w:rPr>
        <w:t>GB/T 1.1</w:t>
      </w: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  <w:t xml:space="preserve">  标准化工作导则 第1部分：标准的结构和编写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firstLine="440" w:firstLineChars="200"/>
        <w:textAlignment w:val="auto"/>
        <w:rPr>
          <w:rFonts w:hint="eastAsia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 xml:space="preserve">GB/T </w:t>
      </w:r>
      <w:r>
        <w:rPr>
          <w:rFonts w:hint="eastAsia" w:ascii="Times New Roman" w:hAnsi="Times New Roman" w:cs="Times New Roman"/>
          <w:b w:val="0"/>
          <w:kern w:val="0"/>
          <w:sz w:val="22"/>
          <w:szCs w:val="22"/>
          <w:lang w:val="en-US" w:eastAsia="zh-CN" w:bidi="zh-CN"/>
        </w:rPr>
        <w:t>230.1</w:t>
      </w: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  <w:t xml:space="preserve">  </w:t>
      </w:r>
      <w:r>
        <w:rPr>
          <w:rFonts w:hint="default" w:ascii="宋体" w:hAnsi="宋体" w:eastAsia="宋体" w:cs="宋体"/>
          <w:b w:val="0"/>
          <w:spacing w:val="-5"/>
          <w:sz w:val="21"/>
          <w:szCs w:val="21"/>
          <w:lang w:val="zh-CN" w:eastAsia="zh-CN" w:bidi="zh-CN"/>
        </w:rPr>
        <w:t>金属材料　洛氏硬度试验　第1部分：试验方法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CN" w:eastAsia="zh-CN" w:bidi="zh-CN"/>
        </w:rPr>
        <w:t>GB/T 2829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周期检验计数抽样程序及表（适用于对过程稳定性的检验）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firstLine="0"/>
        <w:textAlignment w:val="auto"/>
        <w:rPr>
          <w:rFonts w:hint="default" w:ascii="宋体" w:hAnsi="宋体" w:eastAsia="宋体" w:cs="宋体"/>
          <w:spacing w:val="-5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  <w:t xml:space="preserve">   </w:t>
      </w:r>
      <w:r>
        <w:rPr>
          <w:rFonts w:hint="eastAsia" w:cs="宋体"/>
          <w:b w:val="0"/>
          <w:spacing w:val="-5"/>
          <w:sz w:val="21"/>
          <w:szCs w:val="21"/>
          <w:lang w:val="en-US" w:eastAsia="zh-CN" w:bidi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3374.1</w:t>
      </w: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  <w:t xml:space="preserve">  </w:t>
      </w:r>
      <w:r>
        <w:rPr>
          <w:rFonts w:hint="default" w:ascii="宋体" w:hAnsi="宋体" w:eastAsia="宋体" w:cs="宋体"/>
          <w:b w:val="0"/>
          <w:spacing w:val="-5"/>
          <w:sz w:val="21"/>
          <w:szCs w:val="21"/>
          <w:lang w:val="zh-CN" w:eastAsia="zh-CN" w:bidi="zh-CN"/>
        </w:rPr>
        <w:t>齿轮 术语和定义 第1部分：几何学定义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3478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（所有部分）  圆柱直齿渐开线花键（米制模数  齿侧配合）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9450</w:t>
      </w: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b w:val="0"/>
          <w:spacing w:val="-5"/>
          <w:sz w:val="21"/>
          <w:szCs w:val="21"/>
          <w:lang w:val="zh-CN" w:eastAsia="zh-CN" w:bidi="zh-CN"/>
        </w:rPr>
        <w:t>钢件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渗碳淬火硬化层深度的测定和校核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10095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（所有部分）  圆柱齿轮  精度制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13924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渐开线圆柱齿轮精度  检验细则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15822.1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无损检测  磁粉检测  第1部分：总则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GB/T 21153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土方机械  尺寸、性能和参数的单位与测量准确度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JB/T 5942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工程机械  自由锻件通用技术条件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 xml:space="preserve">JB/T 5944 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工程机械  热处理件通用技术条件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JB/T 5947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工程机械  包装通用技术条件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JB/T 6031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 工程机械  钢质模锻件通用技术条件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JB/T 11308</w:t>
      </w:r>
      <w:r>
        <w:rPr>
          <w:rFonts w:hint="eastAsia" w:cs="宋体"/>
          <w:spacing w:val="-5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轮胎式装载机用超越离合器 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JB/T 51148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轮胎式装载机  可靠性试验方法、故障分类及评定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2"/>
          <w:szCs w:val="22"/>
          <w:lang w:val="zh-CN" w:eastAsia="zh-CN" w:bidi="zh-CN"/>
        </w:rPr>
        <w:t>QC/T 262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 xml:space="preserve"> 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/>
        </w:rPr>
        <w:t>汽车渗碳齿轮金相检验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zh-CN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3 术语和定义</w:t>
      </w:r>
      <w:bookmarkEnd w:id="7"/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360" w:lineRule="auto"/>
        <w:ind w:firstLine="44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zh-CN" w:eastAsia="zh-CN" w:bidi="zh-CN"/>
        </w:rPr>
        <w:t>GB/T 3374.1-2010</w:t>
      </w:r>
      <w:r>
        <w:rPr>
          <w:rFonts w:hint="eastAsia" w:cs="宋体"/>
          <w:sz w:val="21"/>
          <w:szCs w:val="21"/>
          <w:lang w:val="en-US" w:eastAsia="zh-CN" w:bidi="zh-CN"/>
        </w:rPr>
        <w:t xml:space="preserve"> </w:t>
      </w:r>
      <w:r>
        <w:rPr>
          <w:rFonts w:hint="eastAsia"/>
          <w:lang w:val="en-US" w:eastAsia="zh-CN"/>
        </w:rPr>
        <w:t>确立的</w:t>
      </w:r>
      <w:r>
        <w:t>术语和定义适用于本标准</w:t>
      </w:r>
      <w:r>
        <w:rPr>
          <w:rFonts w:hint="eastAsia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line="360" w:lineRule="auto"/>
        <w:ind w:firstLine="420" w:firstLineChars="200"/>
        <w:textAlignment w:val="auto"/>
        <w:rPr>
          <w:rFonts w:hint="eastAsia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bookmarkStart w:id="8" w:name="_Toc21809_WPSOffice_Level1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4 </w:t>
      </w:r>
      <w:bookmarkEnd w:id="8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分类</w:t>
      </w:r>
    </w:p>
    <w:p>
      <w:pPr>
        <w:spacing w:before="120" w:after="120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>.1  形式</w:t>
      </w:r>
    </w:p>
    <w:p>
      <w:pPr>
        <w:ind w:firstLine="420"/>
        <w:rPr>
          <w:rFonts w:hint="eastAsia"/>
        </w:rPr>
      </w:pPr>
      <w:r>
        <w:rPr>
          <w:rFonts w:hint="eastAsia"/>
        </w:rPr>
        <w:t>离合器按结构形式分为弹簧复位式超越离合器（见图1）和隔离架式超越离合器（见图2）。</w:t>
      </w:r>
    </w:p>
    <w:p>
      <w:pPr>
        <w:spacing w:before="120" w:after="120"/>
        <w:rPr>
          <w:rFonts w:hint="eastAsia" w:ascii="黑体" w:eastAsia="黑体"/>
        </w:rPr>
      </w:pP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>.2  基本参数</w:t>
      </w:r>
    </w:p>
    <w:p>
      <w:pPr>
        <w:ind w:firstLine="420"/>
        <w:rPr>
          <w:rFonts w:hint="eastAsia"/>
        </w:rPr>
      </w:pPr>
      <w:r>
        <w:rPr>
          <w:rFonts w:hint="eastAsia"/>
        </w:rPr>
        <w:t>离合器基本参数见表1。</w:t>
      </w:r>
    </w:p>
    <w:p>
      <w:pPr>
        <w:rPr>
          <w:rFonts w:hint="eastAsia"/>
        </w:rPr>
      </w:pPr>
    </w:p>
    <w:p>
      <w:pPr>
        <w:spacing w:before="60" w:after="6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表1  基本参数</w:t>
      </w:r>
    </w:p>
    <w:tbl>
      <w:tblPr>
        <w:tblStyle w:val="11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0"/>
        <w:gridCol w:w="1129"/>
        <w:gridCol w:w="1766"/>
        <w:gridCol w:w="962"/>
        <w:gridCol w:w="972"/>
        <w:gridCol w:w="1066"/>
        <w:gridCol w:w="1036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离合器形式</w:t>
            </w:r>
          </w:p>
        </w:tc>
        <w:tc>
          <w:tcPr>
            <w:tcW w:w="1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公称扭矩</w:t>
            </w:r>
            <w:r>
              <w:rPr>
                <w:rFonts w:hint="eastAsia"/>
                <w:i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  <w:vertAlign w:val="subscript"/>
              </w:rPr>
              <w:t>n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1"/>
                <w:szCs w:val="11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7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液力变速箱输入端超越时的极限转速</w:t>
            </w:r>
            <w:r>
              <w:rPr>
                <w:rFonts w:hint="eastAsia"/>
                <w:i/>
                <w:sz w:val="18"/>
                <w:szCs w:val="18"/>
              </w:rPr>
              <w:t>n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r/min</w:t>
            </w:r>
          </w:p>
        </w:tc>
        <w:tc>
          <w:tcPr>
            <w:tcW w:w="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</w:t>
            </w:r>
            <w:r>
              <w:rPr>
                <w:rFonts w:hint="eastAsia"/>
                <w:i/>
                <w:sz w:val="18"/>
                <w:szCs w:val="18"/>
              </w:rPr>
              <w:t>M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97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总长度</w:t>
            </w:r>
            <w:r>
              <w:rPr>
                <w:rFonts w:hint="eastAsia"/>
                <w:i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  <w:vertAlign w:val="subscript"/>
              </w:rPr>
              <w:t>0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0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最大外径</w:t>
            </w:r>
            <w:r>
              <w:rPr>
                <w:rFonts w:hint="eastAsia"/>
                <w:i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  <w:vertAlign w:val="subscript"/>
              </w:rPr>
              <w:t>0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03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装配高度L1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22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M10×1螺母拧紧力矩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sym w:font="Wingdings" w:char="F09F"/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弹簧复位式</w:t>
            </w:r>
          </w:p>
        </w:tc>
        <w:tc>
          <w:tcPr>
            <w:tcW w:w="112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2200～2400</w:t>
            </w:r>
          </w:p>
        </w:tc>
        <w:tc>
          <w:tcPr>
            <w:tcW w:w="176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2200</w:t>
            </w:r>
          </w:p>
        </w:tc>
        <w:tc>
          <w:tcPr>
            <w:tcW w:w="96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35.5±0.5</w:t>
            </w:r>
          </w:p>
        </w:tc>
        <w:tc>
          <w:tcPr>
            <w:tcW w:w="97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305±0.5</w:t>
            </w:r>
          </w:p>
        </w:tc>
        <w:tc>
          <w:tcPr>
            <w:tcW w:w="106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Φ</w:t>
            </w:r>
            <w:r>
              <w:rPr>
                <w:rFonts w:hint="eastAsia" w:cs="Arial"/>
                <w:sz w:val="18"/>
                <w:szCs w:val="18"/>
              </w:rPr>
              <w:t>347</w:t>
            </w:r>
          </w:p>
        </w:tc>
        <w:tc>
          <w:tcPr>
            <w:tcW w:w="103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148.7</w:t>
            </w:r>
          </w:p>
        </w:tc>
        <w:tc>
          <w:tcPr>
            <w:tcW w:w="1223" w:type="dxa"/>
            <w:vMerge w:val="restart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～59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22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隔离架式</w:t>
            </w:r>
          </w:p>
        </w:tc>
        <w:tc>
          <w:tcPr>
            <w:tcW w:w="1129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6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36±0.5</w:t>
            </w:r>
          </w:p>
        </w:tc>
        <w:tc>
          <w:tcPr>
            <w:tcW w:w="972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before="240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6131560" cy="4033520"/>
            <wp:effectExtent l="0" t="0" r="2540" b="5080"/>
            <wp:docPr id="8" name="图片 2" descr="1 简化new 2011-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 简化new 2011-1-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403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  <w:ind w:firstLine="53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tbl>
      <w:tblPr>
        <w:tblStyle w:val="11"/>
        <w:tblW w:w="7657" w:type="dxa"/>
        <w:tblInd w:w="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1——滚柱；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3——外环齿轮；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5——弹簧座；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2——中间输入轴；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4——弹簧；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6——内环凸轮</w:t>
            </w:r>
          </w:p>
        </w:tc>
      </w:tr>
    </w:tbl>
    <w:p>
      <w:pPr>
        <w:spacing w:before="120" w:after="12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图</w:t>
      </w:r>
      <w:r>
        <w:rPr>
          <w:rFonts w:hint="eastAsia" w:ascii="黑体" w:hAnsi="宋体" w:eastAsia="黑体"/>
        </w:rPr>
        <w:t>1</w:t>
      </w:r>
      <w:r>
        <w:rPr>
          <w:rFonts w:hint="eastAsia" w:ascii="黑体" w:eastAsia="黑体"/>
        </w:rPr>
        <w:t xml:space="preserve">  弹簧复位式超越离合器示意图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90440" cy="4196715"/>
            <wp:effectExtent l="0" t="0" r="10160" b="13335"/>
            <wp:docPr id="9" name="图片 3" descr="2 简化new 2011-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2 简化new 2011-1-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</w:p>
    <w:tbl>
      <w:tblPr>
        <w:tblStyle w:val="11"/>
        <w:tblW w:w="7657" w:type="dxa"/>
        <w:tblInd w:w="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1——弹簧；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3——内环凸轮；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5——滚柱；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2——中间输入轴；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4——滚柱隔离架；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6——外环齿轮；</w:t>
            </w:r>
          </w:p>
        </w:tc>
      </w:tr>
    </w:tbl>
    <w:p>
      <w:pPr>
        <w:spacing w:before="120" w:after="12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图2  隔离架式超越离合器示意图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after="120"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eastAsia="黑体"/>
          <w:lang w:val="en-US" w:eastAsia="zh-CN"/>
        </w:rPr>
        <w:t>5 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5.1 零部件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eastAsia="黑体"/>
          <w:lang w:val="en-US" w:eastAsia="zh-CN"/>
        </w:rPr>
        <w:t>5</w:t>
      </w:r>
      <w:r>
        <w:rPr>
          <w:rFonts w:hint="eastAsia" w:ascii="黑体" w:eastAsia="黑体"/>
        </w:rPr>
        <w:t>.1.1</w:t>
      </w:r>
      <w:r>
        <w:rPr>
          <w:rFonts w:hint="eastAsia"/>
        </w:rPr>
        <w:t xml:space="preserve"> 离合器的基本参数应符合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.2的要求。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5.1.2 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离合器的零件应经检验合格后方可进行装配，外购件和外协件应有产品合格证，并经质量检验部门按规定抽查合格后方可装配。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5.1.3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  <w:t xml:space="preserve"> 锻件应符合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en-US" w:eastAsia="zh-CN" w:bidi="zh-CN"/>
        </w:rPr>
        <w:t>JB/T 5942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en-US" w:eastAsia="zh-CN" w:bidi="zh-CN"/>
        </w:rPr>
        <w:t>JB/T 6031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5.2 硬度及有效硬化层要求</w:t>
      </w:r>
    </w:p>
    <w:p>
      <w:pPr>
        <w:spacing w:line="264" w:lineRule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5.2.1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离合器主要零件的硬度及有效硬化层按表2的规定。</w:t>
      </w:r>
    </w:p>
    <w:p>
      <w:pPr>
        <w:spacing w:before="60" w:after="60" w:line="264" w:lineRule="auto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表2  离合器主要零件硬度及有效硬化层要求</w:t>
      </w:r>
    </w:p>
    <w:tbl>
      <w:tblPr>
        <w:tblStyle w:val="11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4941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零件名称</w:t>
            </w:r>
          </w:p>
        </w:tc>
        <w:tc>
          <w:tcPr>
            <w:tcW w:w="494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硬度及有效硬化层</w:t>
            </w:r>
          </w:p>
        </w:tc>
        <w:tc>
          <w:tcPr>
            <w:tcW w:w="245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外环齿轮、中间输入轴</w:t>
            </w:r>
          </w:p>
        </w:tc>
        <w:tc>
          <w:tcPr>
            <w:tcW w:w="49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表面硬度58 HRC～64 HRC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心部硬度30 HRC～45 HRC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有效硬化层0.8 mm～1.2 mm</w:t>
            </w:r>
          </w:p>
        </w:tc>
        <w:tc>
          <w:tcPr>
            <w:tcW w:w="245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20CrMnTiH或20NiCrMoH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内环凸轮</w:t>
            </w:r>
          </w:p>
        </w:tc>
        <w:tc>
          <w:tcPr>
            <w:tcW w:w="4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表面硬度60 HRC～65 HRC</w:t>
            </w:r>
          </w:p>
        </w:tc>
        <w:tc>
          <w:tcPr>
            <w:tcW w:w="24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GCr15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7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弹簧座</w:t>
            </w:r>
          </w:p>
        </w:tc>
        <w:tc>
          <w:tcPr>
            <w:tcW w:w="4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表面硬度40 HRC～50 HRC</w:t>
            </w:r>
          </w:p>
        </w:tc>
        <w:tc>
          <w:tcPr>
            <w:tcW w:w="24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40Cr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续1</w:t>
      </w:r>
    </w:p>
    <w:tbl>
      <w:tblPr>
        <w:tblStyle w:val="11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4941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7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表面硬度65 HBW～68 HBW</w:t>
            </w:r>
          </w:p>
        </w:tc>
        <w:tc>
          <w:tcPr>
            <w:tcW w:w="24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锡青铜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滚柱</w:t>
            </w:r>
          </w:p>
        </w:tc>
        <w:tc>
          <w:tcPr>
            <w:tcW w:w="49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表面硬度60 HRC～65 HRC</w:t>
            </w:r>
          </w:p>
        </w:tc>
        <w:tc>
          <w:tcPr>
            <w:tcW w:w="2457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GCr15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滚柱隔离架</w:t>
            </w:r>
          </w:p>
        </w:tc>
        <w:tc>
          <w:tcPr>
            <w:tcW w:w="494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表面硬度25 HRC～28 HRC</w:t>
            </w:r>
          </w:p>
        </w:tc>
        <w:tc>
          <w:tcPr>
            <w:tcW w:w="245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40Cr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5.3  装配及平顺性要求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5.3.1  需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装配的所有零件在装配前应清洗干净，油孔应畅通并无污物，且零件表面不得有毛刺、磕碰伤、锈蚀等缺陷。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5.3.2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离合器装配时</w:t>
      </w:r>
      <w:r>
        <w:rPr>
          <w:rFonts w:hint="eastAsia" w:cs="宋体"/>
          <w:sz w:val="21"/>
          <w:szCs w:val="21"/>
          <w:lang w:val="en-US" w:eastAsia="zh-CN" w:bidi="zh-CN"/>
        </w:rPr>
        <w:t>螺母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拧紧力矩应符合表1的规定。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5.3.3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离合器在中间输入轴花键侧相对于外环齿轮方向上，顺时针转动中间输入轴应运转灵活，无卡滞现象，不得有异常响声，逆时针转动应自锁。</w:t>
      </w:r>
    </w:p>
    <w:p>
      <w:pPr>
        <w:pStyle w:val="9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/>
        <w:ind w:left="0"/>
        <w:jc w:val="both"/>
        <w:rPr>
          <w:rFonts w:hint="default" w:ascii="宋体" w:hAnsi="宋体" w:eastAsia="宋体" w:cs="宋体"/>
          <w:kern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  <w:lang w:val="en-US" w:eastAsia="zh-CN" w:bidi="zh-CN"/>
        </w:rPr>
        <w:t>5.3.4</w:t>
      </w:r>
      <w:r>
        <w:rPr>
          <w:rFonts w:hint="eastAsia" w:cs="宋体"/>
          <w:sz w:val="21"/>
          <w:szCs w:val="21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zh-CN"/>
        </w:rPr>
        <w:t xml:space="preserve"> 离合器的螺栓的性能等级符合</w:t>
      </w:r>
      <w:r>
        <w:rPr>
          <w:rFonts w:hint="eastAsia" w:ascii="Times New Roman" w:hAnsi="Times New Roman" w:eastAsia="宋体" w:cs="Times New Roman"/>
          <w:kern w:val="0"/>
          <w:sz w:val="22"/>
          <w:szCs w:val="22"/>
          <w:lang w:val="en-US" w:eastAsia="zh-CN" w:bidi="zh-CN"/>
        </w:rPr>
        <w:t>GB/T3098.13-1996</w:t>
      </w:r>
      <w:r>
        <w:rPr>
          <w:rFonts w:hint="eastAsia" w:cs="宋体"/>
          <w:kern w:val="0"/>
          <w:sz w:val="21"/>
          <w:szCs w:val="21"/>
          <w:lang w:val="en-US" w:eastAsia="zh-CN" w:bidi="zh-CN"/>
        </w:rPr>
        <w:t>规定的8.8级，</w:t>
      </w:r>
      <w:bookmarkStart w:id="12" w:name="_GoBack"/>
      <w:r>
        <w:rPr>
          <w:rFonts w:hint="eastAsia" w:cs="宋体"/>
          <w:kern w:val="0"/>
          <w:sz w:val="21"/>
          <w:szCs w:val="21"/>
          <w:lang w:val="en-US" w:eastAsia="zh-CN" w:bidi="zh-CN"/>
        </w:rPr>
        <w:t>螺母的性能等级符合GB/T3098.4-2000规定的8级</w:t>
      </w:r>
      <w:bookmarkEnd w:id="12"/>
      <w:r>
        <w:rPr>
          <w:rFonts w:hint="eastAsia" w:cs="宋体"/>
          <w:kern w:val="0"/>
          <w:sz w:val="21"/>
          <w:szCs w:val="21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highlight w:val="none"/>
          <w:lang w:val="en-US" w:eastAsia="zh-CN"/>
        </w:rPr>
        <w:t>5.4  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5.4.1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</w:t>
      </w:r>
      <w:r>
        <w:rPr>
          <w:rFonts w:hint="eastAsia" w:cs="宋体"/>
          <w:sz w:val="21"/>
          <w:szCs w:val="21"/>
          <w:lang w:val="en-US" w:eastAsia="zh-CN" w:bidi="zh-CN"/>
        </w:rPr>
        <w:t>采用</w:t>
      </w:r>
      <w:r>
        <w:rPr>
          <w:rFonts w:hint="eastAsia" w:ascii="Times New Roman" w:hAnsi="Times New Roman" w:cs="Times New Roman"/>
          <w:lang w:val="en-US" w:eastAsia="zh-CN"/>
        </w:rPr>
        <w:t>CAD、gears</w:t>
      </w:r>
      <w:r>
        <w:rPr>
          <w:rFonts w:hint="eastAsia" w:cs="宋体"/>
          <w:sz w:val="21"/>
          <w:szCs w:val="21"/>
          <w:lang w:val="en-US" w:eastAsia="zh-CN" w:bidi="zh-CN"/>
        </w:rPr>
        <w:t>等齿轮软件系统，三维仿真模拟技术等辅助设计优化，采用高效数控磨齿程控技术，提升齿轮精度。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5.5  检测能力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textAlignment w:val="auto"/>
        <w:rPr>
          <w:rFonts w:hint="eastAsia" w:cs="宋体"/>
          <w:color w:val="auto"/>
          <w:sz w:val="21"/>
          <w:szCs w:val="21"/>
          <w:highlight w:val="none"/>
          <w:lang w:val="en-US" w:eastAsia="zh-CN" w:bidi="zh-CN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 w:bidi="zh-CN"/>
        </w:rPr>
        <w:t>5.5.1 采用齿轮检测中心精准检测齿轮精度。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textAlignment w:val="auto"/>
        <w:rPr>
          <w:rFonts w:hint="eastAsia" w:cs="宋体"/>
          <w:color w:val="auto"/>
          <w:sz w:val="21"/>
          <w:szCs w:val="21"/>
          <w:highlight w:val="none"/>
          <w:lang w:val="en-US" w:eastAsia="zh-CN" w:bidi="zh-CN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 w:bidi="zh-CN"/>
        </w:rPr>
        <w:t>5.5.2 应配置必要检测设备，具备如齿轮件金相组织、硬化层深度、硬度及几何尺寸等方面的检验检测能力。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5.6 生产制造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default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 w:bidi="zh-CN"/>
        </w:rPr>
        <w:t xml:space="preserve">5.6.1 </w:t>
      </w:r>
      <w:r>
        <w:rPr>
          <w:rFonts w:hint="default" w:cs="宋体"/>
          <w:color w:val="auto"/>
          <w:sz w:val="21"/>
          <w:szCs w:val="21"/>
          <w:highlight w:val="none"/>
          <w:lang w:val="en-US" w:eastAsia="zh-CN" w:bidi="zh-CN"/>
        </w:rPr>
        <w:t>应具备过程自动控</w:t>
      </w:r>
      <w:r>
        <w:rPr>
          <w:rFonts w:hint="default" w:cs="宋体"/>
          <w:sz w:val="21"/>
          <w:szCs w:val="21"/>
          <w:lang w:val="en-US" w:eastAsia="zh-CN" w:bidi="zh-CN"/>
        </w:rPr>
        <w:t>制热处理设备来保证</w:t>
      </w:r>
      <w:r>
        <w:rPr>
          <w:rFonts w:hint="eastAsia" w:cs="宋体"/>
          <w:sz w:val="21"/>
          <w:szCs w:val="21"/>
          <w:lang w:val="en-US" w:eastAsia="zh-CN" w:bidi="zh-CN"/>
        </w:rPr>
        <w:t>离合器</w:t>
      </w:r>
      <w:r>
        <w:rPr>
          <w:rFonts w:hint="default" w:cs="宋体"/>
          <w:sz w:val="21"/>
          <w:szCs w:val="21"/>
          <w:lang w:val="en-US" w:eastAsia="zh-CN" w:bidi="zh-CN"/>
        </w:rPr>
        <w:t>热处理工艺的稳定性</w:t>
      </w:r>
      <w:r>
        <w:rPr>
          <w:rFonts w:hint="eastAsia" w:cs="宋体"/>
          <w:sz w:val="21"/>
          <w:szCs w:val="21"/>
          <w:lang w:val="en-US" w:eastAsia="zh-CN" w:bidi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after="0" w:afterLines="50" w:line="36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 技术要求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59"/>
          <w:tab w:val="left" w:pos="21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0" w:after="0" w:line="480" w:lineRule="auto"/>
        <w:ind w:right="0" w:rightChars="0"/>
        <w:jc w:val="left"/>
        <w:textAlignment w:val="auto"/>
        <w:rPr>
          <w:rFonts w:hint="eastAsia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 xml:space="preserve">6.1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zh-CN" w:eastAsia="zh-CN" w:bidi="zh-CN"/>
        </w:rPr>
        <w:t>外观</w:t>
      </w:r>
      <w:r>
        <w:rPr>
          <w:rFonts w:hint="eastAsia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6.1.1 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离合器内腔和外表面应清洁无污物。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6.1.2 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离合器外露零件应无裂纹、毛刺、锈蚀、凹坑和碰伤等缺陷。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6.2  离合器齿轮要求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6.2.1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 齿轮精度等级不应低于</w:t>
      </w:r>
      <w:r>
        <w:rPr>
          <w:rFonts w:hint="eastAsia" w:ascii="Times New Roman" w:hAnsi="Times New Roman" w:cs="Times New Roman"/>
          <w:lang w:val="en-US" w:eastAsia="zh-CN"/>
        </w:rPr>
        <w:t>GB/T 10095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规定的</w:t>
      </w:r>
      <w:r>
        <w:rPr>
          <w:rFonts w:hint="eastAsia" w:cs="宋体"/>
          <w:sz w:val="21"/>
          <w:szCs w:val="21"/>
          <w:lang w:val="en-US" w:eastAsia="zh-CN" w:bidi="zh-CN"/>
        </w:rPr>
        <w:t>7-7-7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级，花键精度应符合</w:t>
      </w:r>
      <w:r>
        <w:rPr>
          <w:rFonts w:hint="eastAsia" w:ascii="Times New Roman" w:hAnsi="Times New Roman" w:cs="Times New Roman"/>
          <w:lang w:val="en-US" w:eastAsia="zh-CN"/>
        </w:rPr>
        <w:t>GB/T 3478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规定的6h。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6.2.2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 齿轮热处理要求按</w:t>
      </w:r>
      <w:r>
        <w:rPr>
          <w:rFonts w:hint="eastAsia" w:ascii="Times New Roman" w:hAnsi="Times New Roman" w:cs="Times New Roman"/>
          <w:lang w:val="en-US" w:eastAsia="zh-CN"/>
        </w:rPr>
        <w:t>JB/T 5944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的规定，并在热处理后进行抛丸处理,其中常啮合齿轮齿顶角碳化物（外环齿轮和中间输入轴）1-4级为合格，芯部铁素体（外环齿轮和中间输入轴）模数＞5时，1-4级为合格；模数≤5时，1-3级为合格。马氏体和残余奥氏体（外环齿轮和中间输入轴），1-5级为合格</w:t>
      </w:r>
      <w:r>
        <w:rPr>
          <w:rFonts w:hint="eastAsia" w:cs="宋体"/>
          <w:sz w:val="21"/>
          <w:szCs w:val="21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6.2.3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 xml:space="preserve">  齿轮不得有裂纹及夹杂缺陷。</w:t>
      </w:r>
      <w:bookmarkStart w:id="9" w:name="_Toc25632_WPSOffice_Level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6.3 离合器要求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 w:bidi="zh-CN"/>
        </w:rPr>
      </w:pPr>
      <w:r>
        <w:rPr>
          <w:rFonts w:hint="eastAsia" w:cs="宋体"/>
          <w:sz w:val="21"/>
          <w:szCs w:val="21"/>
          <w:lang w:val="en-US" w:eastAsia="zh-CN" w:bidi="zh-CN"/>
        </w:rPr>
        <w:t xml:space="preserve">6.3.1  </w:t>
      </w:r>
      <w:r>
        <w:rPr>
          <w:rFonts w:hint="eastAsia" w:ascii="宋体" w:hAnsi="宋体" w:eastAsia="宋体" w:cs="宋体"/>
          <w:sz w:val="21"/>
          <w:szCs w:val="21"/>
          <w:lang w:val="en-US" w:eastAsia="zh-CN" w:bidi="zh-CN"/>
        </w:rPr>
        <w:t>离合器的承载能力≥10000N.m</w:t>
      </w:r>
      <w:r>
        <w:rPr>
          <w:rFonts w:hint="eastAsia" w:cs="宋体"/>
          <w:sz w:val="21"/>
          <w:szCs w:val="21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cs="宋体"/>
          <w:sz w:val="21"/>
          <w:szCs w:val="21"/>
          <w:lang w:val="en-US" w:eastAsia="zh-CN" w:bidi="zh-CN"/>
        </w:rPr>
        <w:t>6.3.2  正常使用条件下，离合器的首次失效时间不应小于2200h。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 试验方法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7.1 试验用设备的测量准确度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按</w:t>
      </w:r>
      <w:r>
        <w:rPr>
          <w:rFonts w:hint="eastAsia" w:ascii="Times New Roman" w:hAnsi="Times New Roman" w:cs="Times New Roman"/>
        </w:rPr>
        <w:t>GB/T 21153</w:t>
      </w:r>
      <w:r>
        <w:rPr>
          <w:rFonts w:hint="eastAsia"/>
        </w:rPr>
        <w:t>的规定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 w:bidi="zh-CN"/>
        </w:rPr>
        <w:t>7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.2 齿轮精度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按</w:t>
      </w:r>
      <w:r>
        <w:rPr>
          <w:rFonts w:hint="eastAsia" w:ascii="Times New Roman" w:hAnsi="Times New Roman" w:cs="Times New Roman"/>
        </w:rPr>
        <w:t>GB/T 13924</w:t>
      </w:r>
      <w:r>
        <w:rPr>
          <w:rFonts w:hint="eastAsia"/>
        </w:rPr>
        <w:t>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7.3 花键精度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按</w:t>
      </w:r>
      <w:r>
        <w:rPr>
          <w:rFonts w:hint="eastAsia" w:ascii="Times New Roman" w:hAnsi="Times New Roman" w:cs="Times New Roman"/>
        </w:rPr>
        <w:t>GB/T 3478</w:t>
      </w:r>
      <w:r>
        <w:rPr>
          <w:rFonts w:hint="eastAsia"/>
        </w:rPr>
        <w:t>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7.4 硬度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  <w:lang w:eastAsia="zh-CN"/>
        </w:rPr>
      </w:pPr>
      <w:r>
        <w:rPr>
          <w:rFonts w:hint="eastAsia"/>
        </w:rPr>
        <w:t>按</w:t>
      </w:r>
      <w:r>
        <w:rPr>
          <w:rFonts w:hint="eastAsia" w:ascii="Times New Roman" w:hAnsi="Times New Roman" w:cs="Times New Roman"/>
        </w:rPr>
        <w:t>GB/T 230.1</w:t>
      </w:r>
      <w:r>
        <w:rPr>
          <w:rFonts w:hint="eastAsia"/>
        </w:rPr>
        <w:t>的规定进行，齿轮心部硬度测试位置在齿中心线与齿根圆相交处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7.5 离合器与相关件配合高度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高度尺检查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7.6 无损探伤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齿轮及内环凸轮按</w:t>
      </w:r>
      <w:r>
        <w:rPr>
          <w:rFonts w:hint="eastAsia" w:ascii="Times New Roman" w:hAnsi="Times New Roman" w:cs="Times New Roman"/>
        </w:rPr>
        <w:t>GB/T 15822.1</w:t>
      </w:r>
      <w:r>
        <w:rPr>
          <w:rFonts w:hint="eastAsia"/>
        </w:rPr>
        <w:t>进行无损探伤检查，检查后应进行退磁处理。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7.7 转动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在装配台架上，固定外环齿轮，中间输入轴花键侧相对于外环齿轮方向，用手顺时针转动中间输入轴时，检查是否转动灵活，逆时针转动时外环齿轮是否瞬间锁紧不打滑。耳听是否有异常响声。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7.8 螺母拧紧力矩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 w:ascii="宋体"/>
        </w:rPr>
      </w:pPr>
      <w:r>
        <w:rPr>
          <w:rFonts w:hint="eastAsia" w:ascii="宋体"/>
        </w:rPr>
        <w:t>用力矩扳手检查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7.9 外观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0"/>
        <w:textAlignment w:val="auto"/>
        <w:rPr>
          <w:rFonts w:hint="eastAsia"/>
        </w:rPr>
      </w:pPr>
      <w:r>
        <w:rPr>
          <w:rFonts w:hint="eastAsia"/>
        </w:rPr>
        <w:t>手感、目测的方法检查。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7.10 可靠性试验</w:t>
      </w:r>
    </w:p>
    <w:p>
      <w:pPr>
        <w:spacing w:line="360" w:lineRule="auto"/>
        <w:ind w:firstLine="440" w:firstLineChars="200"/>
        <w:rPr>
          <w:rFonts w:hint="eastAsia"/>
        </w:rPr>
      </w:pPr>
      <w:r>
        <w:rPr>
          <w:rFonts w:hint="eastAsia"/>
        </w:rPr>
        <w:t>离合器</w:t>
      </w:r>
      <w:r>
        <w:rPr>
          <w:rFonts w:hint="eastAsia" w:ascii="宋体"/>
        </w:rPr>
        <w:t>可靠性试验应在专用台架上进行，当条件不具备时，也可随整机</w:t>
      </w:r>
      <w:r>
        <w:rPr>
          <w:rFonts w:hint="eastAsia"/>
        </w:rPr>
        <w:t>进行不小于</w:t>
      </w:r>
      <w:r>
        <w:rPr>
          <w:rFonts w:hint="eastAsia"/>
          <w:lang w:val="en-US" w:eastAsia="zh-CN"/>
        </w:rPr>
        <w:t>2000</w:t>
      </w:r>
      <w:r>
        <w:rPr>
          <w:rFonts w:hint="eastAsia"/>
        </w:rPr>
        <w:t xml:space="preserve"> h的</w:t>
      </w:r>
      <w:r>
        <w:rPr>
          <w:rFonts w:hint="eastAsia" w:ascii="宋体"/>
        </w:rPr>
        <w:t>可靠性试验考核</w:t>
      </w:r>
      <w:r>
        <w:rPr>
          <w:rFonts w:hint="eastAsia"/>
        </w:rPr>
        <w:t>，</w:t>
      </w:r>
      <w:r>
        <w:rPr>
          <w:rFonts w:hint="eastAsia" w:ascii="宋体" w:hAnsi="宋体"/>
        </w:rPr>
        <w:t>整机可靠性试验方法</w:t>
      </w:r>
      <w:r>
        <w:rPr>
          <w:rFonts w:hint="eastAsia"/>
        </w:rPr>
        <w:t>按</w:t>
      </w:r>
      <w:r>
        <w:rPr>
          <w:rFonts w:hint="default" w:ascii="Times New Roman" w:hAnsi="Times New Roman" w:cs="Times New Roman"/>
        </w:rPr>
        <w:t>JB/T 51148</w:t>
      </w:r>
      <w:r>
        <w:rPr>
          <w:rFonts w:hint="eastAsia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7.11 硬化层深度</w:t>
      </w:r>
    </w:p>
    <w:p>
      <w:pPr>
        <w:spacing w:line="360" w:lineRule="auto"/>
        <w:ind w:firstLine="440" w:firstLineChars="200"/>
        <w:rPr>
          <w:rFonts w:hint="eastAsia" w:eastAsia="宋体"/>
          <w:lang w:eastAsia="zh-CN"/>
        </w:rPr>
      </w:pPr>
      <w:r>
        <w:rPr>
          <w:rFonts w:hint="eastAsia"/>
        </w:rPr>
        <w:t>按</w:t>
      </w:r>
      <w:r>
        <w:rPr>
          <w:rFonts w:hint="default" w:ascii="Times New Roman" w:hAnsi="Times New Roman" w:cs="Times New Roman"/>
        </w:rPr>
        <w:t>GB/T 9450</w:t>
      </w:r>
      <w:r>
        <w:rPr>
          <w:rFonts w:hint="eastAsia"/>
        </w:rPr>
        <w:t>的规定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7.12 齿轮金相组织检验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</w:rPr>
        <w:t xml:space="preserve">    按</w:t>
      </w:r>
      <w:r>
        <w:rPr>
          <w:rFonts w:hint="default" w:ascii="Times New Roman" w:hAnsi="Times New Roman" w:cs="Times New Roman"/>
        </w:rPr>
        <w:t>QC/T 262</w:t>
      </w:r>
      <w:r>
        <w:rPr>
          <w:rFonts w:hint="eastAsia"/>
        </w:rPr>
        <w:t>的规定</w:t>
      </w:r>
      <w:r>
        <w:rPr>
          <w:rFonts w:hint="eastAsia"/>
          <w:lang w:eastAsia="zh-CN"/>
        </w:rPr>
        <w:t>。</w:t>
      </w:r>
    </w:p>
    <w:p>
      <w:pPr>
        <w:spacing w:line="264" w:lineRule="auto"/>
        <w:ind w:firstLine="44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 检验规则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8.1 检验分类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产品检验分出厂检验和型式检验。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36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8.2 出厂检验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8.2.1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离合器应经制造商质检部门检验合格后方准出厂。出厂的离合器应带有检验合格证。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8.2.2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出厂检验项目为外观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</w:rPr>
        <w:t>装配高度</w:t>
      </w:r>
      <w:r>
        <w:rPr>
          <w:rFonts w:hint="eastAsia"/>
          <w:sz w:val="21"/>
          <w:szCs w:val="21"/>
          <w:lang w:eastAsia="zh-CN"/>
        </w:rPr>
        <w:t>和装配灵活性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 xml:space="preserve">8.2.3 </w:t>
      </w:r>
      <w:r>
        <w:rPr>
          <w:rFonts w:hint="eastAsia"/>
        </w:rPr>
        <w:t>离合器应进行</w:t>
      </w:r>
      <w:r>
        <w:rPr>
          <w:rFonts w:hint="eastAsia" w:ascii="宋体" w:hAnsi="宋体"/>
        </w:rPr>
        <w:t>全数检验</w:t>
      </w:r>
      <w:r>
        <w:rPr>
          <w:rFonts w:hint="eastAsia"/>
        </w:rPr>
        <w:t>，所有检验项目均应合格。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>8.3 型式检验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 xml:space="preserve">8.3.1 </w:t>
      </w:r>
      <w:r>
        <w:rPr>
          <w:rFonts w:hint="eastAsia"/>
          <w:sz w:val="21"/>
          <w:szCs w:val="21"/>
        </w:rPr>
        <w:t>检验项目包括本标准要求中的全部项目。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 w:bidi="zh-CN"/>
        </w:rPr>
        <w:t xml:space="preserve">8.3.2 </w:t>
      </w:r>
      <w:r>
        <w:rPr>
          <w:rFonts w:hint="eastAsia"/>
          <w:sz w:val="21"/>
          <w:szCs w:val="21"/>
        </w:rPr>
        <w:t>当有下列情形之一时应进行型式的检验：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a)新产品试制或产品转厂生产时；；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b)产品结构、材料、工艺有较大改变，影响产品性能时；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c)批量生产的产品需定期（一般为两年）检验时；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d)产品停产半年以上，恢复生产时。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黑体" w:eastAsia="黑体"/>
          <w:lang w:val="en-US" w:eastAsia="zh-CN"/>
        </w:rPr>
        <w:t>8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3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3</w:t>
      </w:r>
      <w:r>
        <w:rPr>
          <w:rFonts w:hint="eastAsia" w:ascii="黑体" w:eastAsia="黑体"/>
        </w:rPr>
        <w:t xml:space="preserve"> </w:t>
      </w:r>
      <w:r>
        <w:rPr>
          <w:rFonts w:hint="eastAsia"/>
        </w:rPr>
        <w:t>型式检验项目为第4章规定的项目。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黑体" w:eastAsia="黑体"/>
          <w:lang w:val="en-US" w:eastAsia="zh-CN"/>
        </w:rPr>
        <w:t>8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3</w:t>
      </w:r>
      <w:r>
        <w:rPr>
          <w:rFonts w:hint="eastAsia" w:ascii="黑体" w:eastAsia="黑体"/>
        </w:rPr>
        <w:t>.</w:t>
      </w: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 xml:space="preserve">  </w:t>
      </w:r>
      <w:r>
        <w:rPr>
          <w:rFonts w:hint="eastAsia"/>
        </w:rPr>
        <w:t>型式检验抽样方案按</w:t>
      </w:r>
      <w:r>
        <w:rPr>
          <w:rFonts w:hint="default" w:ascii="Times New Roman" w:hAnsi="Times New Roman" w:eastAsia="楷体" w:cs="Times New Roman"/>
        </w:rPr>
        <w:t>GB/T 2829</w:t>
      </w:r>
      <w:r>
        <w:rPr>
          <w:rFonts w:hint="eastAsia"/>
        </w:rPr>
        <w:t>的规定，具体抽样方案由制造商自行确定，或由供需双方协商确定。</w:t>
      </w:r>
    </w:p>
    <w:bookmarkEnd w:id="9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zh-CN" w:eastAsia="zh-CN"/>
        </w:rPr>
      </w:pPr>
      <w:bookmarkStart w:id="10" w:name="_Toc7965_WPSOffice_Level1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9 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zh-CN" w:eastAsia="zh-CN"/>
        </w:rPr>
        <w:t>标示、包装</w:t>
      </w:r>
      <w:bookmarkEnd w:id="10"/>
      <w:r>
        <w:rPr>
          <w:rFonts w:hint="eastAsia" w:ascii="黑体" w:hAnsi="黑体" w:eastAsia="黑体" w:cs="黑体"/>
          <w:b w:val="0"/>
          <w:bCs w:val="0"/>
          <w:sz w:val="21"/>
          <w:szCs w:val="21"/>
          <w:lang w:val="zh-CN" w:eastAsia="zh-CN"/>
        </w:rPr>
        <w:t>、运输和贮存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lang w:val="en-US" w:eastAsia="zh-CN"/>
        </w:rPr>
      </w:pPr>
      <w:bookmarkStart w:id="11" w:name="_Toc23572_WPSOffice_Level1"/>
      <w:r>
        <w:rPr>
          <w:rFonts w:hint="eastAsia" w:ascii="黑体" w:eastAsia="黑体"/>
          <w:lang w:val="en-US" w:eastAsia="zh-CN"/>
        </w:rPr>
        <w:t xml:space="preserve">9.1  </w:t>
      </w:r>
      <w:r>
        <w:rPr>
          <w:rFonts w:hint="eastAsia"/>
          <w:lang w:val="en-US" w:eastAsia="zh-CN"/>
        </w:rPr>
        <w:t>离合器应标识出厂编号及制造商商标，标识应完整且清晰可辨</w:t>
      </w:r>
      <w:r>
        <w:rPr>
          <w:rFonts w:hint="eastAsia" w:ascii="黑体" w:eastAsia="黑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9.2  </w:t>
      </w:r>
      <w:r>
        <w:rPr>
          <w:rFonts w:hint="eastAsia"/>
          <w:lang w:val="en-US" w:eastAsia="zh-CN"/>
        </w:rPr>
        <w:t>离合器的包装应符合</w:t>
      </w:r>
      <w:r>
        <w:rPr>
          <w:rFonts w:hint="default" w:ascii="Times New Roman" w:hAnsi="Times New Roman" w:cs="Times New Roman"/>
          <w:lang w:val="en-US" w:eastAsia="zh-CN"/>
        </w:rPr>
        <w:t>JB/T 5947</w:t>
      </w:r>
      <w:r>
        <w:rPr>
          <w:rFonts w:hint="eastAsia"/>
          <w:lang w:val="en-US" w:eastAsia="zh-CN"/>
        </w:rPr>
        <w:t>的规定，包装箱内至少应附有产品合格证和保修卡。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9.3  </w:t>
      </w:r>
      <w:r>
        <w:rPr>
          <w:rFonts w:hint="eastAsia"/>
          <w:lang w:val="en-US" w:eastAsia="zh-CN"/>
        </w:rPr>
        <w:t>离合器产品运输过程中应防日晒雨淋，表面不得有碰伤。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黑体" w:eastAsia="黑体"/>
          <w:lang w:val="en-US" w:eastAsia="zh-CN"/>
        </w:rPr>
        <w:t xml:space="preserve">9.4 </w:t>
      </w:r>
      <w:r>
        <w:rPr>
          <w:rFonts w:hint="eastAsia"/>
          <w:lang w:val="en-US" w:eastAsia="zh-CN"/>
        </w:rPr>
        <w:t xml:space="preserve"> 离合器产品应放于干燥、通风、清洁的仓库内，存放期限超过六个月时应重新进行防锈处理。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10 质量承诺</w:t>
      </w:r>
      <w:bookmarkEnd w:id="11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cs="宋体-18030" w:asciiTheme="minorEastAsia" w:hAnsiTheme="minorEastAsia" w:eastAsiaTheme="minorEastAsia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 w:bidi="zh-CN"/>
        </w:rPr>
        <w:t>10.1</w:t>
      </w:r>
      <w:r>
        <w:rPr>
          <w:rFonts w:hint="eastAsia" w:cs="宋体-18030" w:asciiTheme="minorEastAsia" w:hAnsiTheme="minorEastAsia" w:eastAsiaTheme="minorEastAsia"/>
          <w:color w:val="auto"/>
          <w:sz w:val="21"/>
          <w:szCs w:val="21"/>
          <w:highlight w:val="none"/>
        </w:rPr>
        <w:t xml:space="preserve"> </w:t>
      </w:r>
      <w:r>
        <w:rPr>
          <w:rFonts w:hint="eastAsia" w:cs="宋体-18030" w:asciiTheme="minorEastAsia" w:hAnsiTheme="minorEastAsia" w:eastAsiaTheme="minorEastAsia"/>
          <w:color w:val="auto"/>
          <w:sz w:val="21"/>
          <w:szCs w:val="21"/>
          <w:highlight w:val="none"/>
          <w:lang w:eastAsia="zh-CN"/>
        </w:rPr>
        <w:t>自购买日起1年范围内，若在产品使用过程中，因制造原因而导致的外观缺陷或不能正常使用时，制造商应负责保修或免费更换。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cs="宋体-18030" w:asciiTheme="minorEastAsia" w:hAnsiTheme="minorEastAsia" w:eastAsiaTheme="minor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 w:bidi="zh-CN"/>
        </w:rPr>
        <w:t>10.2</w:t>
      </w:r>
      <w:r>
        <w:rPr>
          <w:rFonts w:hint="eastAsia" w:cs="宋体-18030" w:asciiTheme="minorEastAsia" w:hAnsiTheme="minorEastAsia" w:eastAsiaTheme="minorEastAsia"/>
          <w:color w:val="auto"/>
          <w:sz w:val="21"/>
          <w:szCs w:val="21"/>
          <w:highlight w:val="none"/>
          <w:lang w:val="en-US" w:eastAsia="zh-CN"/>
        </w:rPr>
        <w:t xml:space="preserve"> 客户在产品使用过程中如有技术服务需求，可通过各种通讯方式通知工厂，宗兴24小时全天侯接受咨询，根据客户的需求及时派遣技术人员至客户公司进行现场技术支持。</w:t>
      </w:r>
    </w:p>
    <w:sectPr>
      <w:footerReference r:id="rId9" w:type="default"/>
      <w:pgSz w:w="11910" w:h="16840"/>
      <w:pgMar w:top="1417" w:right="1134" w:bottom="782" w:left="1417" w:header="0" w:footer="993" w:gutter="0"/>
      <w:pgNumType w:fmt="decimal"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rFonts w:hint="eastAsia" w:ascii="宋体" w:hAnsi="宋体" w:eastAsia="宋体" w:cs="宋体"/>
        <w:sz w:val="20"/>
      </w:rPr>
    </w:pPr>
    <w:r>
      <w:rPr>
        <w:rFonts w:hint="eastAsia" w:ascii="宋体" w:hAnsi="宋体" w:eastAsia="宋体" w:cs="宋体"/>
        <w:sz w:val="20"/>
      </w:rPr>
      <w:t>ⅠⅠⅠ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rFonts w:hint="eastAsia" w:ascii="宋体" w:hAnsi="宋体" w:eastAsia="宋体" w:cs="宋体"/>
        <w:sz w:val="20"/>
      </w:rPr>
    </w:pPr>
    <w:r>
      <w:rPr>
        <w:rFonts w:hint="eastAsia" w:ascii="宋体" w:hAnsi="宋体" w:eastAsia="宋体" w:cs="宋体"/>
        <w:sz w:val="20"/>
      </w:rPr>
      <w:t>ⅠⅠⅠⅠ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rFonts w:hint="eastAsia" w:ascii="黑体" w:hAnsi="黑体" w:eastAsia="黑体"/>
        <w:highlight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left="7140" w:firstLine="420"/>
      <w:rPr>
        <w:rFonts w:ascii="黑体" w:hAnsi="黑体" w:eastAsia="黑体"/>
        <w:highlight w:val="none"/>
      </w:rPr>
    </w:pPr>
  </w:p>
  <w:p>
    <w:pPr>
      <w:spacing w:line="0" w:lineRule="atLeast"/>
      <w:ind w:left="7140" w:firstLine="420"/>
      <w:rPr>
        <w:rFonts w:ascii="黑体" w:hAnsi="黑体" w:eastAsia="黑体"/>
        <w:highlight w:val="none"/>
      </w:rPr>
    </w:pPr>
  </w:p>
  <w:p>
    <w:pPr>
      <w:spacing w:line="0" w:lineRule="atLeast"/>
      <w:ind w:left="7140" w:firstLine="420"/>
      <w:rPr>
        <w:rFonts w:ascii="黑体" w:hAnsi="黑体" w:eastAsia="黑体"/>
        <w:highlight w:val="none"/>
      </w:rPr>
    </w:pPr>
  </w:p>
  <w:p>
    <w:pPr>
      <w:spacing w:line="0" w:lineRule="atLeast"/>
      <w:rPr>
        <w:rFonts w:ascii="黑体" w:hAnsi="黑体" w:eastAsia="黑体"/>
        <w:highlight w:val="none"/>
      </w:rPr>
    </w:pPr>
  </w:p>
  <w:p>
    <w:pPr>
      <w:spacing w:line="0" w:lineRule="atLeast"/>
      <w:ind w:left="7140" w:firstLine="420"/>
      <w:rPr>
        <w:rFonts w:hint="default" w:ascii="黑体" w:hAnsi="黑体" w:eastAsia="黑体"/>
        <w:highlight w:val="none"/>
        <w:lang w:val="en-US" w:eastAsia="zh-CN"/>
      </w:rPr>
    </w:pPr>
    <w:r>
      <w:rPr>
        <w:rFonts w:ascii="黑体" w:hAnsi="黑体" w:eastAsia="黑体"/>
        <w:highlight w:val="none"/>
      </w:rPr>
      <w:t xml:space="preserve">T/ZZB </w:t>
    </w:r>
    <w:r>
      <w:rPr>
        <w:rFonts w:hint="eastAsia" w:ascii="黑体" w:hAnsi="黑体" w:eastAsia="黑体"/>
        <w:highlight w:val="none"/>
        <w:lang w:val="en-US" w:eastAsia="zh-CN"/>
      </w:rPr>
      <w:t>xxxx</w:t>
    </w:r>
    <w:r>
      <w:rPr>
        <w:rFonts w:eastAsia="Times New Roman"/>
        <w:highlight w:val="none"/>
      </w:rPr>
      <w:t>—</w:t>
    </w:r>
    <w:r>
      <w:rPr>
        <w:rFonts w:ascii="黑体" w:hAnsi="黑体" w:eastAsia="黑体"/>
        <w:highlight w:val="none"/>
      </w:rPr>
      <w:t>20</w:t>
    </w:r>
    <w:r>
      <w:rPr>
        <w:rFonts w:hint="eastAsia" w:ascii="黑体" w:hAnsi="黑体" w:eastAsia="黑体"/>
        <w:highlight w:val="none"/>
        <w:lang w:val="en-US" w:eastAsia="zh-CN"/>
      </w:rPr>
      <w:t>20</w:t>
    </w:r>
  </w:p>
  <w:p>
    <w:pPr>
      <w:spacing w:line="0" w:lineRule="atLeast"/>
      <w:ind w:left="7140" w:firstLine="420"/>
      <w:rPr>
        <w:rFonts w:hint="eastAsia" w:ascii="黑体" w:hAnsi="黑体" w:eastAsia="黑体"/>
        <w:highlight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79BD"/>
    <w:rsid w:val="0031189A"/>
    <w:rsid w:val="00421166"/>
    <w:rsid w:val="00EC0E61"/>
    <w:rsid w:val="0145517E"/>
    <w:rsid w:val="024A048C"/>
    <w:rsid w:val="02EA465B"/>
    <w:rsid w:val="02FE7100"/>
    <w:rsid w:val="030D008D"/>
    <w:rsid w:val="03D73A24"/>
    <w:rsid w:val="04714EA4"/>
    <w:rsid w:val="0747340F"/>
    <w:rsid w:val="081B36B6"/>
    <w:rsid w:val="081F768A"/>
    <w:rsid w:val="085D6D56"/>
    <w:rsid w:val="0ABE7E1A"/>
    <w:rsid w:val="0ADA1873"/>
    <w:rsid w:val="0BA57BD2"/>
    <w:rsid w:val="0D96702A"/>
    <w:rsid w:val="0EBC5D51"/>
    <w:rsid w:val="0F4037B8"/>
    <w:rsid w:val="0F5F051F"/>
    <w:rsid w:val="0FBF2A62"/>
    <w:rsid w:val="0FDE3CA9"/>
    <w:rsid w:val="12976128"/>
    <w:rsid w:val="131E6774"/>
    <w:rsid w:val="1555395B"/>
    <w:rsid w:val="169E50F6"/>
    <w:rsid w:val="16AB28E5"/>
    <w:rsid w:val="187B2C4C"/>
    <w:rsid w:val="191B3717"/>
    <w:rsid w:val="193D2413"/>
    <w:rsid w:val="1969744B"/>
    <w:rsid w:val="19803F2F"/>
    <w:rsid w:val="1A6670E0"/>
    <w:rsid w:val="1CB824A3"/>
    <w:rsid w:val="1E197334"/>
    <w:rsid w:val="1E2E67EE"/>
    <w:rsid w:val="1E981F23"/>
    <w:rsid w:val="1ED90A57"/>
    <w:rsid w:val="21421B49"/>
    <w:rsid w:val="22EE263E"/>
    <w:rsid w:val="23A46C63"/>
    <w:rsid w:val="24170AD0"/>
    <w:rsid w:val="294979FD"/>
    <w:rsid w:val="29DA25D1"/>
    <w:rsid w:val="2B1760FB"/>
    <w:rsid w:val="2C5522CC"/>
    <w:rsid w:val="2C8B711C"/>
    <w:rsid w:val="2E7F3B42"/>
    <w:rsid w:val="2EE91CE0"/>
    <w:rsid w:val="2EEC5722"/>
    <w:rsid w:val="30647866"/>
    <w:rsid w:val="30804C88"/>
    <w:rsid w:val="319C49DE"/>
    <w:rsid w:val="32011D6A"/>
    <w:rsid w:val="33101847"/>
    <w:rsid w:val="33E67646"/>
    <w:rsid w:val="341C72BF"/>
    <w:rsid w:val="346506B1"/>
    <w:rsid w:val="346A01DA"/>
    <w:rsid w:val="34A22B6E"/>
    <w:rsid w:val="34E136F9"/>
    <w:rsid w:val="352B0431"/>
    <w:rsid w:val="35553E39"/>
    <w:rsid w:val="35611136"/>
    <w:rsid w:val="36CB783A"/>
    <w:rsid w:val="3D061BA9"/>
    <w:rsid w:val="3DC43E74"/>
    <w:rsid w:val="41320133"/>
    <w:rsid w:val="419A3DBC"/>
    <w:rsid w:val="41DF00F0"/>
    <w:rsid w:val="43485E09"/>
    <w:rsid w:val="43A1336B"/>
    <w:rsid w:val="43C17621"/>
    <w:rsid w:val="43F51C6F"/>
    <w:rsid w:val="440225CF"/>
    <w:rsid w:val="44BF0A71"/>
    <w:rsid w:val="44EA1BD5"/>
    <w:rsid w:val="45772E7C"/>
    <w:rsid w:val="45AA7B33"/>
    <w:rsid w:val="463F0358"/>
    <w:rsid w:val="485729CF"/>
    <w:rsid w:val="492D7D37"/>
    <w:rsid w:val="496040A7"/>
    <w:rsid w:val="4B3B3155"/>
    <w:rsid w:val="4B4C215B"/>
    <w:rsid w:val="4CC65CFE"/>
    <w:rsid w:val="4D013508"/>
    <w:rsid w:val="4EC43874"/>
    <w:rsid w:val="4F0317ED"/>
    <w:rsid w:val="4F751775"/>
    <w:rsid w:val="4F7E7859"/>
    <w:rsid w:val="50644509"/>
    <w:rsid w:val="50F2441C"/>
    <w:rsid w:val="51202AF0"/>
    <w:rsid w:val="52D638E7"/>
    <w:rsid w:val="52E96432"/>
    <w:rsid w:val="53247414"/>
    <w:rsid w:val="53390D12"/>
    <w:rsid w:val="53BE34C5"/>
    <w:rsid w:val="550821A5"/>
    <w:rsid w:val="551D67BB"/>
    <w:rsid w:val="567E6836"/>
    <w:rsid w:val="56E6023F"/>
    <w:rsid w:val="583E230C"/>
    <w:rsid w:val="587D57CB"/>
    <w:rsid w:val="5AE823EE"/>
    <w:rsid w:val="5BC13AB4"/>
    <w:rsid w:val="5D256ECE"/>
    <w:rsid w:val="5DC91EC0"/>
    <w:rsid w:val="5F227B78"/>
    <w:rsid w:val="606C21FC"/>
    <w:rsid w:val="60C63D9A"/>
    <w:rsid w:val="632835DC"/>
    <w:rsid w:val="635447E4"/>
    <w:rsid w:val="641D3651"/>
    <w:rsid w:val="649B5A11"/>
    <w:rsid w:val="64CA0CED"/>
    <w:rsid w:val="653C1ADD"/>
    <w:rsid w:val="66395BF7"/>
    <w:rsid w:val="68A46F4D"/>
    <w:rsid w:val="68B0333F"/>
    <w:rsid w:val="68B34882"/>
    <w:rsid w:val="68CB51F2"/>
    <w:rsid w:val="693C5AF1"/>
    <w:rsid w:val="694413E4"/>
    <w:rsid w:val="6AA32F4E"/>
    <w:rsid w:val="6CAD5B95"/>
    <w:rsid w:val="6F031938"/>
    <w:rsid w:val="6F9C7C13"/>
    <w:rsid w:val="707E303B"/>
    <w:rsid w:val="70D676AE"/>
    <w:rsid w:val="74487681"/>
    <w:rsid w:val="76050ABA"/>
    <w:rsid w:val="76FA375B"/>
    <w:rsid w:val="77A81995"/>
    <w:rsid w:val="781370F6"/>
    <w:rsid w:val="78925E75"/>
    <w:rsid w:val="7B854FB9"/>
    <w:rsid w:val="7BE813EB"/>
    <w:rsid w:val="7C5D16DF"/>
    <w:rsid w:val="7CA22926"/>
    <w:rsid w:val="7DA71DD3"/>
    <w:rsid w:val="7DD17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0"/>
      <w:ind w:left="200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67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zh-CN" w:eastAsia="zh-CN" w:bidi="zh-C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 Char Char1 Char"/>
    <w:basedOn w:val="1"/>
    <w:link w:val="12"/>
    <w:qFormat/>
    <w:uiPriority w:val="0"/>
  </w:style>
  <w:style w:type="character" w:styleId="14">
    <w:name w:val="Strong"/>
    <w:basedOn w:val="12"/>
    <w:qFormat/>
    <w:uiPriority w:val="0"/>
    <w:rPr>
      <w:b/>
    </w:rPr>
  </w:style>
  <w:style w:type="character" w:styleId="15">
    <w:name w:val="page number"/>
    <w:basedOn w:val="12"/>
    <w:qFormat/>
    <w:uiPriority w:val="0"/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List Paragraph"/>
    <w:basedOn w:val="1"/>
    <w:qFormat/>
    <w:uiPriority w:val="1"/>
    <w:pPr>
      <w:ind w:left="2167" w:hanging="368"/>
    </w:pPr>
    <w:rPr>
      <w:rFonts w:ascii="宋体" w:hAnsi="宋体" w:eastAsia="宋体" w:cs="宋体"/>
      <w:lang w:val="zh-CN" w:eastAsia="zh-CN" w:bidi="zh-CN"/>
    </w:rPr>
  </w:style>
  <w:style w:type="paragraph" w:customStyle="1" w:styleId="18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d4b2a10-9513-4a83-8882-a6c86ae3ca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4b2a10-9513-4a83-8882-a6c86ae3ca3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87d25ed-e15a-4112-96c5-81434517d79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7d25ed-e15a-4112-96c5-81434517d79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ad94807-c174-43c6-bcec-54ee07c5a7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d94807-c174-43c6-bcec-54ee07c5a7e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cf9c896-8b5a-4c1a-b369-4a5f509d9b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f9c896-8b5a-4c1a-b369-4a5f509d9b4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8313c17-d4ca-49f3-9f2b-24b44cfcde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313c17-d4ca-49f3-9f2b-24b44cfcde8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1f751df-6688-4654-a9d3-180f985e91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f751df-6688-4654-a9d3-180f985e91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e5d884-4d7e-4abf-82c0-9c78db7ad4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e5d884-4d7e-4abf-82c0-9c78db7ad4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eb6dd4-9474-4354-b253-4a4500362c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eb6dd4-9474-4354-b253-4a4500362c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551b6f9-dcd0-4813-9ba4-88781ff9827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51b6f9-dcd0-4813-9ba4-88781ff9827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dfbc46-bbc5-490b-a3f3-e5fc04fd6f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dfbc46-bbc5-490b-a3f3-e5fc04fd6f2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2019-05-15T06:42:00Z</dcterms:created>
  <dc:creator>USER</dc:creator>
  <cp:lastModifiedBy>吃嘛嘛香</cp:lastModifiedBy>
  <dcterms:modified xsi:type="dcterms:W3CDTF">2020-04-23T00:11:09Z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2019-05-15T00:00:00Z</vt:filetime>
  </property>
  <property fmtid="{D5CDD505-2E9C-101B-9397-08002B2CF9AE}" pid="5" name="KSOProductBuildVer">
    <vt:lpwstr>2052-11.1.0.9584</vt:lpwstr>
  </property>
</Properties>
</file>